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20A3F" w14:textId="5EEC1665" w:rsidR="008765BE" w:rsidRPr="000E3C41" w:rsidRDefault="00CF2366">
      <w:pPr>
        <w:rPr>
          <w:sz w:val="26"/>
          <w:szCs w:val="26"/>
          <w:lang w:val="pl-PL"/>
        </w:rPr>
      </w:pPr>
      <w:bookmarkStart w:id="0" w:name="_GoBack"/>
      <w:bookmarkEnd w:id="0"/>
      <w:r w:rsidRPr="000E3C41">
        <w:rPr>
          <w:sz w:val="26"/>
          <w:szCs w:val="26"/>
          <w:lang w:val="pl-PL"/>
        </w:rPr>
        <w:t xml:space="preserve">Szanowny Panie Premierze, </w:t>
      </w:r>
    </w:p>
    <w:p w14:paraId="1B6C77F3" w14:textId="77777777" w:rsidR="004F43BE" w:rsidRDefault="004F43BE">
      <w:pPr>
        <w:rPr>
          <w:sz w:val="26"/>
          <w:szCs w:val="26"/>
          <w:lang w:val="pl-PL"/>
        </w:rPr>
      </w:pPr>
    </w:p>
    <w:p w14:paraId="2F37F5AA" w14:textId="4407DBF7" w:rsidR="004F43BE" w:rsidRPr="004F43BE" w:rsidRDefault="004F43BE" w:rsidP="004F43BE">
      <w:pPr>
        <w:rPr>
          <w:sz w:val="26"/>
          <w:szCs w:val="26"/>
          <w:lang w:val="pl-PL"/>
        </w:rPr>
      </w:pPr>
      <w:r w:rsidRPr="004F43BE">
        <w:rPr>
          <w:sz w:val="26"/>
          <w:szCs w:val="26"/>
          <w:lang w:val="pl-PL"/>
        </w:rPr>
        <w:t xml:space="preserve">W związku z nadchodzącym </w:t>
      </w:r>
      <w:r w:rsidR="007372DC">
        <w:rPr>
          <w:sz w:val="26"/>
          <w:szCs w:val="26"/>
          <w:lang w:val="pl-PL"/>
        </w:rPr>
        <w:t>posiedzeniem</w:t>
      </w:r>
      <w:r w:rsidRPr="004F43BE">
        <w:rPr>
          <w:sz w:val="26"/>
          <w:szCs w:val="26"/>
          <w:lang w:val="pl-PL"/>
        </w:rPr>
        <w:t xml:space="preserve"> Rady Europejskiej, który odbędzie się w dniach 19–20 marca 2026 r., podczas którego </w:t>
      </w:r>
      <w:r w:rsidR="007372DC">
        <w:rPr>
          <w:sz w:val="26"/>
          <w:szCs w:val="26"/>
          <w:lang w:val="pl-PL"/>
        </w:rPr>
        <w:t>omawiana będzie</w:t>
      </w:r>
      <w:r w:rsidRPr="004F43BE">
        <w:rPr>
          <w:sz w:val="26"/>
          <w:szCs w:val="26"/>
          <w:lang w:val="pl-PL"/>
        </w:rPr>
        <w:t xml:space="preserve"> kwestia konkurencyjności gospodarki</w:t>
      </w:r>
      <w:r w:rsidR="007372DC">
        <w:rPr>
          <w:sz w:val="26"/>
          <w:szCs w:val="26"/>
          <w:lang w:val="pl-PL"/>
        </w:rPr>
        <w:t xml:space="preserve"> Unii Europejskiej</w:t>
      </w:r>
      <w:r w:rsidRPr="004F43BE">
        <w:rPr>
          <w:sz w:val="26"/>
          <w:szCs w:val="26"/>
          <w:lang w:val="pl-PL"/>
        </w:rPr>
        <w:t xml:space="preserve">, </w:t>
      </w:r>
      <w:r w:rsidR="007372DC">
        <w:rPr>
          <w:sz w:val="26"/>
          <w:szCs w:val="26"/>
          <w:lang w:val="pl-PL"/>
        </w:rPr>
        <w:t xml:space="preserve">uprzejmie </w:t>
      </w:r>
      <w:r w:rsidRPr="004F43BE">
        <w:rPr>
          <w:sz w:val="26"/>
          <w:szCs w:val="26"/>
          <w:lang w:val="pl-PL"/>
        </w:rPr>
        <w:t>przekazujemy stanowisko delegacji europosłów Prawa i Sprawiedliwości w Parlamencie Europejskim.</w:t>
      </w:r>
    </w:p>
    <w:p w14:paraId="7C94E97A" w14:textId="77777777" w:rsidR="007372DC" w:rsidRDefault="007372DC" w:rsidP="004F43BE">
      <w:pPr>
        <w:rPr>
          <w:sz w:val="26"/>
          <w:szCs w:val="26"/>
          <w:lang w:val="pl-PL"/>
        </w:rPr>
      </w:pPr>
    </w:p>
    <w:p w14:paraId="336B706D" w14:textId="39B6618A" w:rsidR="007372DC" w:rsidRPr="004F43BE" w:rsidRDefault="007372DC" w:rsidP="004F43BE">
      <w:pPr>
        <w:rPr>
          <w:sz w:val="26"/>
          <w:szCs w:val="26"/>
          <w:lang w:val="pl-PL"/>
        </w:rPr>
      </w:pPr>
      <w:r w:rsidRPr="007372DC">
        <w:rPr>
          <w:sz w:val="26"/>
          <w:szCs w:val="26"/>
          <w:lang w:val="pl-PL"/>
        </w:rPr>
        <w:t>Debata dotycząca konkurencyjności europejskiej gospodarki oraz przystępności cen energii pozostaje nierozerwalnie związana z dyskusją nad planowaną rewizją dyrektywy 200/87/WE, ustanawiającej system handlu uprawnieniami do emisji gazów cieplarnianych (EU ETS), która obecnie toczy się na forum Unii Europejskiej.</w:t>
      </w:r>
    </w:p>
    <w:p w14:paraId="1F2C6555" w14:textId="77777777" w:rsidR="004F43BE" w:rsidRDefault="004F43BE">
      <w:pPr>
        <w:rPr>
          <w:sz w:val="26"/>
          <w:szCs w:val="26"/>
          <w:lang w:val="pl-PL"/>
        </w:rPr>
      </w:pPr>
    </w:p>
    <w:p w14:paraId="12753F7D" w14:textId="77777777" w:rsidR="004F43BE" w:rsidRPr="004F43BE" w:rsidRDefault="004F43BE" w:rsidP="004F43BE">
      <w:pPr>
        <w:rPr>
          <w:sz w:val="26"/>
          <w:szCs w:val="26"/>
          <w:lang w:val="pl-PL"/>
        </w:rPr>
      </w:pPr>
      <w:r w:rsidRPr="004F43BE">
        <w:rPr>
          <w:sz w:val="26"/>
          <w:szCs w:val="26"/>
          <w:lang w:val="pl-PL"/>
        </w:rPr>
        <w:t xml:space="preserve">Raport Mario </w:t>
      </w:r>
      <w:proofErr w:type="spellStart"/>
      <w:r w:rsidRPr="004F43BE">
        <w:rPr>
          <w:sz w:val="26"/>
          <w:szCs w:val="26"/>
          <w:lang w:val="pl-PL"/>
        </w:rPr>
        <w:t>Draghiego</w:t>
      </w:r>
      <w:proofErr w:type="spellEnd"/>
      <w:r w:rsidRPr="004F43BE">
        <w:rPr>
          <w:sz w:val="26"/>
          <w:szCs w:val="26"/>
          <w:lang w:val="pl-PL"/>
        </w:rPr>
        <w:t>, opublikowany 9 września 2024 r., wyraźnie wskazuje, że konkurencyjność europejskiej gospodarki systematycznie spada w porównaniu z gospodarkami Stanów Zjednoczonych i Chin. Produktywność sektorów energochłonnych w Unii Europejskiej zmniejszyła się o ok. 10–15% względem 2021 r., co było bezpośrednio związane z bardzo wysokimi cenami energii w Europie, które pozostają około dwa–trzy razy wyższe niż w innych częściach świata.</w:t>
      </w:r>
    </w:p>
    <w:p w14:paraId="54DD57CF" w14:textId="77777777" w:rsidR="004F43BE" w:rsidRPr="000E3C41" w:rsidRDefault="004F43BE">
      <w:pPr>
        <w:rPr>
          <w:sz w:val="26"/>
          <w:szCs w:val="26"/>
          <w:lang w:val="pl-PL"/>
        </w:rPr>
      </w:pPr>
    </w:p>
    <w:p w14:paraId="08E729F4" w14:textId="1544ADE8" w:rsidR="00B35745" w:rsidRPr="000E3C41" w:rsidRDefault="004F43BE">
      <w:pPr>
        <w:rPr>
          <w:sz w:val="26"/>
          <w:szCs w:val="26"/>
          <w:lang w:val="pl-PL"/>
        </w:rPr>
      </w:pPr>
      <w:r w:rsidRPr="004F43BE">
        <w:rPr>
          <w:sz w:val="26"/>
          <w:szCs w:val="26"/>
          <w:lang w:val="pl-PL"/>
        </w:rPr>
        <w:t xml:space="preserve">Raport </w:t>
      </w:r>
      <w:proofErr w:type="spellStart"/>
      <w:r w:rsidRPr="004F43BE">
        <w:rPr>
          <w:sz w:val="26"/>
          <w:szCs w:val="26"/>
          <w:lang w:val="pl-PL"/>
        </w:rPr>
        <w:t>Draghiego</w:t>
      </w:r>
      <w:proofErr w:type="spellEnd"/>
      <w:r w:rsidRPr="004F43BE">
        <w:rPr>
          <w:sz w:val="26"/>
          <w:szCs w:val="26"/>
          <w:lang w:val="pl-PL"/>
        </w:rPr>
        <w:t xml:space="preserve"> jednoznacznie pokazuje, że wysokie ceny energii w Europie wynikają nie tylko z unijnej zależności od importu paliw kopalnych, lecz także z restrykcyjnej polityki klimatycznej Unii, w szczególności z funkcjonowania systemu EU ETS.</w:t>
      </w:r>
    </w:p>
    <w:p w14:paraId="00103BA7" w14:textId="77777777" w:rsidR="004F43BE" w:rsidRDefault="004F43BE" w:rsidP="00B35745">
      <w:pPr>
        <w:rPr>
          <w:sz w:val="26"/>
          <w:szCs w:val="26"/>
          <w:lang w:val="pl-PL"/>
        </w:rPr>
      </w:pPr>
    </w:p>
    <w:p w14:paraId="56F78BAF" w14:textId="34BA3165" w:rsidR="004F43BE" w:rsidRPr="004F43BE" w:rsidRDefault="004F43BE" w:rsidP="004F43BE">
      <w:pPr>
        <w:rPr>
          <w:sz w:val="26"/>
          <w:szCs w:val="26"/>
          <w:lang w:val="pl-PL"/>
        </w:rPr>
      </w:pPr>
      <w:r w:rsidRPr="004F43BE">
        <w:rPr>
          <w:sz w:val="26"/>
          <w:szCs w:val="26"/>
          <w:lang w:val="pl-PL"/>
        </w:rPr>
        <w:t xml:space="preserve">W ostatnich miesiącach coraz więcej państw członkowskich głośno wzywa do wprowadzenia odważnych i konkretnych zmian w dyrektywie EU ETS, tak aby zwiększyć konkurencyjność europejskiej gospodarki oraz realnie obniżyć ceny energii. Premier Włoch Giorgia </w:t>
      </w:r>
      <w:proofErr w:type="spellStart"/>
      <w:r w:rsidRPr="004F43BE">
        <w:rPr>
          <w:sz w:val="26"/>
          <w:szCs w:val="26"/>
          <w:lang w:val="pl-PL"/>
        </w:rPr>
        <w:t>Meloni</w:t>
      </w:r>
      <w:proofErr w:type="spellEnd"/>
      <w:r w:rsidRPr="004F43BE">
        <w:rPr>
          <w:sz w:val="26"/>
          <w:szCs w:val="26"/>
          <w:lang w:val="pl-PL"/>
        </w:rPr>
        <w:t xml:space="preserve"> wezwała do jak najszybszego zawieszenia funkcjonowania systemu EU ETS do czasu jego gruntownej rewizji, natomiast </w:t>
      </w:r>
      <w:r>
        <w:rPr>
          <w:sz w:val="26"/>
          <w:szCs w:val="26"/>
          <w:lang w:val="pl-PL"/>
        </w:rPr>
        <w:t>K</w:t>
      </w:r>
      <w:r w:rsidRPr="004F43BE">
        <w:rPr>
          <w:sz w:val="26"/>
          <w:szCs w:val="26"/>
          <w:lang w:val="pl-PL"/>
        </w:rPr>
        <w:t xml:space="preserve">anclerz Niemiec Friedrich </w:t>
      </w:r>
      <w:proofErr w:type="spellStart"/>
      <w:r w:rsidRPr="004F43BE">
        <w:rPr>
          <w:sz w:val="26"/>
          <w:szCs w:val="26"/>
          <w:lang w:val="pl-PL"/>
        </w:rPr>
        <w:t>Merz</w:t>
      </w:r>
      <w:proofErr w:type="spellEnd"/>
      <w:r w:rsidRPr="004F43BE">
        <w:rPr>
          <w:sz w:val="26"/>
          <w:szCs w:val="26"/>
          <w:lang w:val="pl-PL"/>
        </w:rPr>
        <w:t xml:space="preserve"> podczas Europejskiego Szczytu Przemysłowego w Antwerpii zaapelował o pilne zmiany w tym systemie w celu ograniczenia kosztów dla przemysłu energochłonnego. Do tych postulatów przyłączają się liderzy kolejnych państw członkowskich.</w:t>
      </w:r>
    </w:p>
    <w:p w14:paraId="7769068E" w14:textId="77777777" w:rsidR="00DF6ACD" w:rsidRPr="000E3C41" w:rsidRDefault="00DF6ACD" w:rsidP="00B35745">
      <w:pPr>
        <w:rPr>
          <w:sz w:val="26"/>
          <w:szCs w:val="26"/>
          <w:lang w:val="pl-PL"/>
        </w:rPr>
      </w:pPr>
    </w:p>
    <w:p w14:paraId="478391F9" w14:textId="1FC72A36" w:rsidR="00613BBD" w:rsidRPr="000E3C41" w:rsidRDefault="00613BBD" w:rsidP="00B35745">
      <w:pPr>
        <w:rPr>
          <w:sz w:val="26"/>
          <w:szCs w:val="26"/>
          <w:lang w:val="pl-PL"/>
        </w:rPr>
      </w:pPr>
      <w:r w:rsidRPr="000E3C41">
        <w:rPr>
          <w:sz w:val="26"/>
          <w:szCs w:val="26"/>
          <w:lang w:val="pl-PL"/>
        </w:rPr>
        <w:t xml:space="preserve">System EU ETS </w:t>
      </w:r>
      <w:r w:rsidR="007372DC">
        <w:rPr>
          <w:sz w:val="26"/>
          <w:szCs w:val="26"/>
          <w:lang w:val="pl-PL"/>
        </w:rPr>
        <w:t>został wprowadzony w 2005 roku i w przeciągu ostatnich 20 lat przeszedł on znaczną transformację. Od systemu opartego w całości na darmowych uprawnienia</w:t>
      </w:r>
      <w:r w:rsidR="00111C17">
        <w:rPr>
          <w:sz w:val="26"/>
          <w:szCs w:val="26"/>
          <w:lang w:val="pl-PL"/>
        </w:rPr>
        <w:t>ch</w:t>
      </w:r>
      <w:r w:rsidR="007372DC">
        <w:rPr>
          <w:sz w:val="26"/>
          <w:szCs w:val="26"/>
          <w:lang w:val="pl-PL"/>
        </w:rPr>
        <w:t xml:space="preserve">, </w:t>
      </w:r>
      <w:r w:rsidR="00111C17">
        <w:rPr>
          <w:sz w:val="26"/>
          <w:szCs w:val="26"/>
          <w:lang w:val="pl-PL"/>
        </w:rPr>
        <w:t>ceny uprawnień w ramach systemu stale rosły, osiągając prawie EUR 100/tCO2eq w 2022 roku podczas kryzysu energetycznego. W 2030 roku ceny uprawnień mają osiągnąć co najmniej EUR 145/tCO2eg</w:t>
      </w:r>
      <w:r w:rsidR="003D3010">
        <w:rPr>
          <w:sz w:val="26"/>
          <w:szCs w:val="26"/>
          <w:lang w:val="pl-PL"/>
        </w:rPr>
        <w:t>, co bezpośrednio przekłada się na ceny energii dla przemysłu i gospodarstw domowych.</w:t>
      </w:r>
    </w:p>
    <w:p w14:paraId="6488A00F" w14:textId="77777777" w:rsidR="00613BBD" w:rsidRPr="000E3C41" w:rsidRDefault="00613BBD" w:rsidP="00B35745">
      <w:pPr>
        <w:rPr>
          <w:sz w:val="26"/>
          <w:szCs w:val="26"/>
          <w:lang w:val="pl-PL"/>
        </w:rPr>
      </w:pPr>
    </w:p>
    <w:p w14:paraId="6ABE198A" w14:textId="76457F47" w:rsidR="00DF6ACD" w:rsidRPr="000E3C41" w:rsidRDefault="00DF6ACD" w:rsidP="00B35745">
      <w:pPr>
        <w:rPr>
          <w:sz w:val="26"/>
          <w:szCs w:val="26"/>
          <w:lang w:val="pl-PL"/>
        </w:rPr>
      </w:pPr>
      <w:r w:rsidRPr="000E3C41">
        <w:rPr>
          <w:sz w:val="26"/>
          <w:szCs w:val="26"/>
          <w:lang w:val="pl-PL"/>
        </w:rPr>
        <w:t xml:space="preserve">W związku z powyższym zwracamy się do Pana z prośbą o podjęcie pilnych działań na arenie europejskiej </w:t>
      </w:r>
      <w:r w:rsidR="003D3010">
        <w:rPr>
          <w:sz w:val="26"/>
          <w:szCs w:val="26"/>
          <w:lang w:val="pl-PL"/>
        </w:rPr>
        <w:t xml:space="preserve">prowadzących do pilnej rewizji dyrektywy EU ETS. </w:t>
      </w:r>
      <w:r w:rsidRPr="000E3C41">
        <w:rPr>
          <w:sz w:val="26"/>
          <w:szCs w:val="26"/>
          <w:lang w:val="pl-PL"/>
        </w:rPr>
        <w:t>Domagamy się w szczególności następujących zmian:</w:t>
      </w:r>
    </w:p>
    <w:p w14:paraId="1240272A" w14:textId="77777777" w:rsidR="00DF6ACD" w:rsidRPr="000E3C41" w:rsidRDefault="00DF6ACD" w:rsidP="00B35745">
      <w:pPr>
        <w:rPr>
          <w:sz w:val="26"/>
          <w:szCs w:val="26"/>
          <w:lang w:val="pl-PL"/>
        </w:rPr>
      </w:pPr>
    </w:p>
    <w:p w14:paraId="0FC70220" w14:textId="3939370B" w:rsidR="00DF6ACD" w:rsidRPr="000E3C41" w:rsidRDefault="00DF6ACD" w:rsidP="00B35745">
      <w:pPr>
        <w:rPr>
          <w:sz w:val="26"/>
          <w:szCs w:val="26"/>
          <w:lang w:val="pl-PL"/>
        </w:rPr>
      </w:pPr>
      <w:r w:rsidRPr="000E3C41">
        <w:rPr>
          <w:sz w:val="26"/>
          <w:szCs w:val="26"/>
          <w:lang w:val="pl-PL"/>
        </w:rPr>
        <w:lastRenderedPageBreak/>
        <w:t xml:space="preserve">1. </w:t>
      </w:r>
      <w:r w:rsidRPr="000E3C41">
        <w:rPr>
          <w:b/>
          <w:bCs/>
          <w:sz w:val="26"/>
          <w:szCs w:val="26"/>
          <w:lang w:val="pl-PL"/>
        </w:rPr>
        <w:t>Zawieszenia</w:t>
      </w:r>
      <w:r w:rsidR="00716F38" w:rsidRPr="000E3C41">
        <w:rPr>
          <w:b/>
          <w:bCs/>
          <w:sz w:val="26"/>
          <w:szCs w:val="26"/>
          <w:lang w:val="pl-PL"/>
        </w:rPr>
        <w:t xml:space="preserve"> obowiązywania</w:t>
      </w:r>
      <w:r w:rsidRPr="000E3C41">
        <w:rPr>
          <w:b/>
          <w:bCs/>
          <w:sz w:val="26"/>
          <w:szCs w:val="26"/>
          <w:lang w:val="pl-PL"/>
        </w:rPr>
        <w:t xml:space="preserve"> systemu EU ETS</w:t>
      </w:r>
      <w:r w:rsidR="00716F38" w:rsidRPr="000E3C41">
        <w:rPr>
          <w:sz w:val="26"/>
          <w:szCs w:val="26"/>
          <w:lang w:val="pl-PL"/>
        </w:rPr>
        <w:t xml:space="preserve">, przynajmniej do czasu głębokiej </w:t>
      </w:r>
      <w:r w:rsidR="004F43BE" w:rsidRPr="000E3C41">
        <w:rPr>
          <w:sz w:val="26"/>
          <w:szCs w:val="26"/>
          <w:lang w:val="pl-PL"/>
        </w:rPr>
        <w:t>rewizji,</w:t>
      </w:r>
      <w:r w:rsidR="00716F38" w:rsidRPr="000E3C41">
        <w:rPr>
          <w:sz w:val="26"/>
          <w:szCs w:val="26"/>
          <w:lang w:val="pl-PL"/>
        </w:rPr>
        <w:t xml:space="preserve"> która zaadresuje kwestie wysokich cen uprawnień do emisji oraz wprowadzi </w:t>
      </w:r>
      <w:r w:rsidR="004F43BE">
        <w:rPr>
          <w:sz w:val="26"/>
          <w:szCs w:val="26"/>
          <w:lang w:val="pl-PL"/>
        </w:rPr>
        <w:t>rozwiązania, które zwiększą konkurencyjność przemysłu</w:t>
      </w:r>
      <w:r w:rsidR="004C653C">
        <w:rPr>
          <w:sz w:val="26"/>
          <w:szCs w:val="26"/>
          <w:lang w:val="pl-PL"/>
        </w:rPr>
        <w:t>.</w:t>
      </w:r>
    </w:p>
    <w:p w14:paraId="274F1560" w14:textId="77777777" w:rsidR="00BF1C1D" w:rsidRPr="000E3C41" w:rsidRDefault="00BF1C1D" w:rsidP="00B35745">
      <w:pPr>
        <w:rPr>
          <w:sz w:val="26"/>
          <w:szCs w:val="26"/>
          <w:lang w:val="pl-PL"/>
        </w:rPr>
      </w:pPr>
    </w:p>
    <w:p w14:paraId="3E27D4FA" w14:textId="4BDE3693" w:rsidR="00716F38" w:rsidRPr="000E3C41" w:rsidRDefault="00DF6ACD" w:rsidP="00B35745">
      <w:pPr>
        <w:rPr>
          <w:sz w:val="26"/>
          <w:szCs w:val="26"/>
          <w:lang w:val="pl-PL"/>
        </w:rPr>
      </w:pPr>
      <w:r w:rsidRPr="000E3C41">
        <w:rPr>
          <w:sz w:val="26"/>
          <w:szCs w:val="26"/>
          <w:lang w:val="pl-PL"/>
        </w:rPr>
        <w:t xml:space="preserve">2. </w:t>
      </w:r>
      <w:r w:rsidR="00716F38" w:rsidRPr="000E3C41">
        <w:rPr>
          <w:b/>
          <w:bCs/>
          <w:sz w:val="26"/>
          <w:szCs w:val="26"/>
          <w:lang w:val="pl-PL"/>
        </w:rPr>
        <w:t>Szybkiego i stałego o</w:t>
      </w:r>
      <w:r w:rsidRPr="000E3C41">
        <w:rPr>
          <w:b/>
          <w:bCs/>
          <w:sz w:val="26"/>
          <w:szCs w:val="26"/>
          <w:lang w:val="pl-PL"/>
        </w:rPr>
        <w:t>bniżenia cen uprawnień do emisji CO2</w:t>
      </w:r>
      <w:r w:rsidR="00716F38" w:rsidRPr="000E3C41">
        <w:rPr>
          <w:b/>
          <w:bCs/>
          <w:sz w:val="26"/>
          <w:szCs w:val="26"/>
          <w:lang w:val="pl-PL"/>
        </w:rPr>
        <w:t xml:space="preserve">. </w:t>
      </w:r>
      <w:r w:rsidR="00716F38" w:rsidRPr="000E3C41">
        <w:rPr>
          <w:sz w:val="26"/>
          <w:szCs w:val="26"/>
          <w:lang w:val="pl-PL"/>
        </w:rPr>
        <w:t>Ceny uprawnień do emisji CO2 powinny zostać obniżone poprzez reformę Rezerwy Stabilności Rynkowej (MSR), a w szczególności poprzez wycofanie zasady unieważniania uprawnień, które znajdują się w Rezerwie (</w:t>
      </w:r>
      <w:proofErr w:type="spellStart"/>
      <w:r w:rsidR="00716F38" w:rsidRPr="000E3C41">
        <w:rPr>
          <w:i/>
          <w:iCs/>
          <w:sz w:val="26"/>
          <w:szCs w:val="26"/>
          <w:lang w:val="pl-PL"/>
        </w:rPr>
        <w:t>invalidation</w:t>
      </w:r>
      <w:proofErr w:type="spellEnd"/>
      <w:r w:rsidR="00716F38" w:rsidRPr="000E3C41">
        <w:rPr>
          <w:i/>
          <w:iCs/>
          <w:sz w:val="26"/>
          <w:szCs w:val="26"/>
          <w:lang w:val="pl-PL"/>
        </w:rPr>
        <w:t xml:space="preserve"> </w:t>
      </w:r>
      <w:proofErr w:type="spellStart"/>
      <w:r w:rsidR="00716F38" w:rsidRPr="000E3C41">
        <w:rPr>
          <w:i/>
          <w:iCs/>
          <w:sz w:val="26"/>
          <w:szCs w:val="26"/>
          <w:lang w:val="pl-PL"/>
        </w:rPr>
        <w:t>rule</w:t>
      </w:r>
      <w:proofErr w:type="spellEnd"/>
      <w:r w:rsidR="00716F38" w:rsidRPr="000E3C41">
        <w:rPr>
          <w:sz w:val="26"/>
          <w:szCs w:val="26"/>
          <w:lang w:val="pl-PL"/>
        </w:rPr>
        <w:t>)</w:t>
      </w:r>
      <w:r w:rsidR="00BF1C1D" w:rsidRPr="000E3C41">
        <w:rPr>
          <w:sz w:val="26"/>
          <w:szCs w:val="26"/>
          <w:lang w:val="pl-PL"/>
        </w:rPr>
        <w:t xml:space="preserve"> oraz wprowadzenie więcej elastyczności, które pozwoliłyby na szybkie uwolnienie dużej ilości uprawnień na rynek, aby </w:t>
      </w:r>
      <w:r w:rsidR="004C653C">
        <w:rPr>
          <w:sz w:val="26"/>
          <w:szCs w:val="26"/>
          <w:lang w:val="pl-PL"/>
        </w:rPr>
        <w:t>obniżyć</w:t>
      </w:r>
      <w:r w:rsidR="00BF1C1D" w:rsidRPr="000E3C41">
        <w:rPr>
          <w:sz w:val="26"/>
          <w:szCs w:val="26"/>
          <w:lang w:val="pl-PL"/>
        </w:rPr>
        <w:t xml:space="preserve"> ich cenę. Ponadto, liniowy współczynnik redukcji (LRF), które obecnie zmniejsza corocznie ilość uprawnień do emisji na rynku o 4.3% powinien zostać znacznie obniżony, aby zapobiec zbyt szybkiej redukcji uprawnień na rynku ETS. </w:t>
      </w:r>
    </w:p>
    <w:p w14:paraId="76FFD1B2" w14:textId="77777777" w:rsidR="00716F38" w:rsidRPr="000E3C41" w:rsidRDefault="00716F38" w:rsidP="00B35745">
      <w:pPr>
        <w:rPr>
          <w:sz w:val="26"/>
          <w:szCs w:val="26"/>
          <w:lang w:val="pl-PL"/>
        </w:rPr>
      </w:pPr>
    </w:p>
    <w:p w14:paraId="14A16E26" w14:textId="52B732D4" w:rsidR="00BF1C1D" w:rsidRPr="000E3C41" w:rsidRDefault="00DF6ACD" w:rsidP="00B35745">
      <w:pPr>
        <w:rPr>
          <w:sz w:val="26"/>
          <w:szCs w:val="26"/>
          <w:lang w:val="pl-PL"/>
        </w:rPr>
      </w:pPr>
      <w:r w:rsidRPr="000E3C41">
        <w:rPr>
          <w:sz w:val="26"/>
          <w:szCs w:val="26"/>
          <w:lang w:val="pl-PL"/>
        </w:rPr>
        <w:t xml:space="preserve">3. </w:t>
      </w:r>
      <w:r w:rsidRPr="000E3C41">
        <w:rPr>
          <w:b/>
          <w:bCs/>
          <w:sz w:val="26"/>
          <w:szCs w:val="26"/>
          <w:lang w:val="pl-PL"/>
        </w:rPr>
        <w:t>Wykluczenia z rynku EU ETS instytucji</w:t>
      </w:r>
      <w:r w:rsidRPr="000E3C41">
        <w:rPr>
          <w:sz w:val="26"/>
          <w:szCs w:val="26"/>
          <w:lang w:val="pl-PL"/>
        </w:rPr>
        <w:t xml:space="preserve"> </w:t>
      </w:r>
      <w:r w:rsidRPr="000E3C41">
        <w:rPr>
          <w:b/>
          <w:bCs/>
          <w:sz w:val="26"/>
          <w:szCs w:val="26"/>
          <w:lang w:val="pl-PL"/>
        </w:rPr>
        <w:t>finansowych</w:t>
      </w:r>
      <w:r w:rsidR="00BF1C1D" w:rsidRPr="000E3C41">
        <w:rPr>
          <w:b/>
          <w:bCs/>
          <w:sz w:val="26"/>
          <w:szCs w:val="26"/>
          <w:lang w:val="pl-PL"/>
        </w:rPr>
        <w:t>.</w:t>
      </w:r>
      <w:r w:rsidR="00BF1C1D" w:rsidRPr="000E3C41">
        <w:rPr>
          <w:sz w:val="26"/>
          <w:szCs w:val="26"/>
          <w:lang w:val="pl-PL"/>
        </w:rPr>
        <w:t xml:space="preserve"> Rewizja dyrektywy MIFID II z 2018 zakwalifikowała uprawnienia do emisji CO2 </w:t>
      </w:r>
      <w:r w:rsidR="004C653C">
        <w:rPr>
          <w:sz w:val="26"/>
          <w:szCs w:val="26"/>
          <w:lang w:val="pl-PL"/>
        </w:rPr>
        <w:t>jako</w:t>
      </w:r>
      <w:r w:rsidR="00BF1C1D" w:rsidRPr="000E3C41">
        <w:rPr>
          <w:sz w:val="26"/>
          <w:szCs w:val="26"/>
          <w:lang w:val="pl-PL"/>
        </w:rPr>
        <w:t xml:space="preserve"> instrumenty finansowe i w konsekwencji, wprowadziła do systemu EU ETS instytucje finansowe, które skupują uprawnienia ETS i sztucznie zawyżają ich cenę. Instytucje finansowe powinny zostać wykluczone z rynku ETS a udział w nim powinien być zagwarantowany jedynie dla instalacji objętych systemem. </w:t>
      </w:r>
    </w:p>
    <w:p w14:paraId="64914092" w14:textId="77777777" w:rsidR="00BF1C1D" w:rsidRPr="000E3C41" w:rsidRDefault="00BF1C1D" w:rsidP="00B35745">
      <w:pPr>
        <w:rPr>
          <w:sz w:val="26"/>
          <w:szCs w:val="26"/>
          <w:lang w:val="pl-PL"/>
        </w:rPr>
      </w:pPr>
    </w:p>
    <w:p w14:paraId="4F69D8E1" w14:textId="3AD10B30" w:rsidR="00DF6ACD" w:rsidRPr="000E3C41" w:rsidRDefault="00DF6ACD" w:rsidP="00B35745">
      <w:pPr>
        <w:rPr>
          <w:sz w:val="26"/>
          <w:szCs w:val="26"/>
          <w:lang w:val="pl-PL"/>
        </w:rPr>
      </w:pPr>
      <w:r w:rsidRPr="000E3C41">
        <w:rPr>
          <w:sz w:val="26"/>
          <w:szCs w:val="26"/>
          <w:lang w:val="pl-PL"/>
        </w:rPr>
        <w:t xml:space="preserve">4. </w:t>
      </w:r>
      <w:r w:rsidRPr="000E3C41">
        <w:rPr>
          <w:b/>
          <w:bCs/>
          <w:sz w:val="26"/>
          <w:szCs w:val="26"/>
          <w:lang w:val="pl-PL"/>
        </w:rPr>
        <w:t>Przywrócenia darmowych uprawnień dla przemysłu</w:t>
      </w:r>
      <w:r w:rsidR="00BF1C1D" w:rsidRPr="000E3C41">
        <w:rPr>
          <w:b/>
          <w:bCs/>
          <w:sz w:val="26"/>
          <w:szCs w:val="26"/>
          <w:lang w:val="pl-PL"/>
        </w:rPr>
        <w:t>.</w:t>
      </w:r>
      <w:r w:rsidR="00BF1C1D" w:rsidRPr="000E3C41">
        <w:rPr>
          <w:sz w:val="26"/>
          <w:szCs w:val="26"/>
          <w:lang w:val="pl-PL"/>
        </w:rPr>
        <w:t xml:space="preserve"> Na mocy rewizji dyrektywy EU ETS z 2023 roku, wycofywanie darmowych uprawnień dla przemysłu rozpocznie się w 2026 roku</w:t>
      </w:r>
      <w:r w:rsidR="000E3C41" w:rsidRPr="000E3C41">
        <w:rPr>
          <w:sz w:val="26"/>
          <w:szCs w:val="26"/>
          <w:lang w:val="pl-PL"/>
        </w:rPr>
        <w:t>. Domagamy się</w:t>
      </w:r>
      <w:r w:rsidR="004C653C">
        <w:rPr>
          <w:sz w:val="26"/>
          <w:szCs w:val="26"/>
          <w:lang w:val="pl-PL"/>
        </w:rPr>
        <w:t xml:space="preserve"> całkowitego</w:t>
      </w:r>
      <w:r w:rsidR="000E3C41" w:rsidRPr="000E3C41">
        <w:rPr>
          <w:sz w:val="26"/>
          <w:szCs w:val="26"/>
          <w:lang w:val="pl-PL"/>
        </w:rPr>
        <w:t xml:space="preserve"> przywrócenia darmowych uprawnień do emisji dla przemysłu europejskiego, aby zagwarantować jego konkurencyjność na arenie międzynarodowej oraz wyrównać koszty produkcji w porównaniu z produkcją </w:t>
      </w:r>
      <w:r w:rsidR="004C653C">
        <w:rPr>
          <w:sz w:val="26"/>
          <w:szCs w:val="26"/>
          <w:lang w:val="pl-PL"/>
        </w:rPr>
        <w:t xml:space="preserve">w państwach trzecich, </w:t>
      </w:r>
      <w:r w:rsidR="000E3C41" w:rsidRPr="000E3C41">
        <w:rPr>
          <w:sz w:val="26"/>
          <w:szCs w:val="26"/>
          <w:lang w:val="pl-PL"/>
        </w:rPr>
        <w:t xml:space="preserve">w których nie obowiązuje tak restrykcyjna polityka klimatyczna. </w:t>
      </w:r>
    </w:p>
    <w:p w14:paraId="335FE477" w14:textId="77777777" w:rsidR="00BF1C1D" w:rsidRPr="000E3C41" w:rsidRDefault="00BF1C1D" w:rsidP="00B35745">
      <w:pPr>
        <w:rPr>
          <w:sz w:val="26"/>
          <w:szCs w:val="26"/>
          <w:lang w:val="pl-PL"/>
        </w:rPr>
      </w:pPr>
    </w:p>
    <w:p w14:paraId="3C5391AD" w14:textId="0FE7447D" w:rsidR="00DF6ACD" w:rsidRPr="00B35745" w:rsidRDefault="000E3C41" w:rsidP="00B35745">
      <w:pPr>
        <w:rPr>
          <w:sz w:val="26"/>
          <w:szCs w:val="26"/>
          <w:lang w:val="pl-PL"/>
        </w:rPr>
      </w:pPr>
      <w:r w:rsidRPr="000E3C41">
        <w:rPr>
          <w:sz w:val="26"/>
          <w:szCs w:val="26"/>
          <w:lang w:val="pl-PL"/>
        </w:rPr>
        <w:t>5</w:t>
      </w:r>
      <w:r w:rsidR="00DF6ACD" w:rsidRPr="000E3C41">
        <w:rPr>
          <w:sz w:val="26"/>
          <w:szCs w:val="26"/>
          <w:lang w:val="pl-PL"/>
        </w:rPr>
        <w:t xml:space="preserve">. </w:t>
      </w:r>
      <w:r w:rsidR="00DF6ACD" w:rsidRPr="000E3C41">
        <w:rPr>
          <w:b/>
          <w:bCs/>
          <w:sz w:val="26"/>
          <w:szCs w:val="26"/>
          <w:lang w:val="pl-PL"/>
        </w:rPr>
        <w:t xml:space="preserve">Wycofania się z </w:t>
      </w:r>
      <w:r w:rsidRPr="000E3C41">
        <w:rPr>
          <w:b/>
          <w:bCs/>
          <w:sz w:val="26"/>
          <w:szCs w:val="26"/>
          <w:lang w:val="pl-PL"/>
        </w:rPr>
        <w:t>wprowadzenia systemu ETS2, czyli rozszerzenia systemu ETS na transport drogowy oraz budynki.</w:t>
      </w:r>
      <w:r w:rsidRPr="000E3C41">
        <w:rPr>
          <w:sz w:val="26"/>
          <w:szCs w:val="26"/>
          <w:lang w:val="pl-PL"/>
        </w:rPr>
        <w:t xml:space="preserve"> Cena uprawnień do emisji w ramach systemu</w:t>
      </w:r>
      <w:r w:rsidRPr="000E3C41">
        <w:rPr>
          <w:sz w:val="26"/>
          <w:szCs w:val="26"/>
          <w:lang w:val="pl-PL"/>
        </w:rPr>
        <w:t xml:space="preserve"> ETS2 może wynieść nawet</w:t>
      </w:r>
      <w:r w:rsidRPr="000E3C41">
        <w:rPr>
          <w:sz w:val="26"/>
          <w:szCs w:val="26"/>
          <w:lang w:val="pl-PL"/>
        </w:rPr>
        <w:t xml:space="preserve"> EUR</w:t>
      </w:r>
      <w:r w:rsidRPr="000E3C41">
        <w:rPr>
          <w:sz w:val="26"/>
          <w:szCs w:val="26"/>
          <w:lang w:val="pl-PL"/>
        </w:rPr>
        <w:t xml:space="preserve"> 149 za tonę emisji CO2 w 2030 roku</w:t>
      </w:r>
      <w:r w:rsidRPr="000E3C41">
        <w:rPr>
          <w:sz w:val="26"/>
          <w:szCs w:val="26"/>
          <w:lang w:val="pl-PL"/>
        </w:rPr>
        <w:t xml:space="preserve">, dlatego rozszerzenie tego systemu na transport drogowy i budynki w 2028 roku drastycznie wpłynie na ceny ogrzewania oraz paliwa w Unii oraz zwiększy ryzyko ubóstwa energetycznego i wykluczenia transportowego. </w:t>
      </w:r>
    </w:p>
    <w:p w14:paraId="123183CA" w14:textId="77777777" w:rsidR="00B35745" w:rsidRDefault="00B35745">
      <w:pPr>
        <w:rPr>
          <w:lang w:val="pl-PL"/>
        </w:rPr>
      </w:pPr>
    </w:p>
    <w:p w14:paraId="5A0E2312" w14:textId="77777777" w:rsidR="00CF2366" w:rsidRPr="00CF2366" w:rsidRDefault="00CF2366">
      <w:pPr>
        <w:rPr>
          <w:lang w:val="pl-PL"/>
        </w:rPr>
      </w:pPr>
    </w:p>
    <w:sectPr w:rsidR="00CF2366" w:rsidRPr="00CF23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66"/>
    <w:rsid w:val="00034682"/>
    <w:rsid w:val="000E3C41"/>
    <w:rsid w:val="00111C17"/>
    <w:rsid w:val="003D3010"/>
    <w:rsid w:val="004C653C"/>
    <w:rsid w:val="004F43BE"/>
    <w:rsid w:val="005762E3"/>
    <w:rsid w:val="00613BBD"/>
    <w:rsid w:val="006D1ED1"/>
    <w:rsid w:val="00716F38"/>
    <w:rsid w:val="007372DC"/>
    <w:rsid w:val="00747366"/>
    <w:rsid w:val="0075159E"/>
    <w:rsid w:val="008765BE"/>
    <w:rsid w:val="00A60FDD"/>
    <w:rsid w:val="00A92DD1"/>
    <w:rsid w:val="00B35745"/>
    <w:rsid w:val="00B63120"/>
    <w:rsid w:val="00B65FAE"/>
    <w:rsid w:val="00BF1C1D"/>
    <w:rsid w:val="00CF2366"/>
    <w:rsid w:val="00DF6ACD"/>
    <w:rsid w:val="00E7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2B70"/>
  <w15:chartTrackingRefBased/>
  <w15:docId w15:val="{BA788D7C-F464-48E5-A188-901518CB9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PARUCH Weronika</dc:creator>
  <cp:keywords/>
  <dc:description/>
  <cp:lastModifiedBy>PARUCH Weronika</cp:lastModifiedBy>
  <cp:revision>1</cp:revision>
  <dcterms:created xsi:type="dcterms:W3CDTF">2026-03-17T11:41:00Z</dcterms:created>
  <dcterms:modified xsi:type="dcterms:W3CDTF">2026-03-17T16:40:00Z</dcterms:modified>
</cp:coreProperties>
</file>